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herioa.</w:t>
      </w:r>
      <w:br/>
      <w:r>
        <w:rPr>
          <w:rStyle w:val="Normal"/>
        </w:rPr>
        <w:t xml:space="preserve">Horrela gizaki guzietarat zabaldu da herioa,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 Moisen legea baino lehen bazela bekatua munduan ;</w:t>
      </w:r>
      <w:br/>
      <w:r>
        <w:rPr>
          <w:rStyle w:val="Normal"/>
        </w:rPr>
        <w:t xml:space="preserve">bainan legerik ez denean,</w:t>
      </w:r>
      <w:br/>
      <w:r>
        <w:rPr>
          <w:rStyle w:val="Normal"/>
        </w:rPr>
        <w:t xml:space="preserve">bekaturik ez daiteke nehoren gain eman.</w:t>
      </w:r>
      <w:br/>
      <w:r>
        <w:rPr>
          <w:rStyle w:val="Normal"/>
        </w:rPr>
        <w:t xml:space="preserve">Halere, Adamenganik Moiseraino, herioa nagusi izan da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da.</w:t>
      </w:r>
      <w:br/>
      <w:r>
        <w:rPr>
          <w:rStyle w:val="Normal"/>
        </w:rPr>
        <w:t xml:space="preserve">Bainan Jainkoaren dohainarekin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da guzietarat Jainkoaren grazia,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2026-10-24T02:09:22+00:00</dcterms:created>
  <dcterms:modified xsi:type="dcterms:W3CDTF">2026-10-24T02:09:22+00:00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